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75CD6" w14:textId="77777777" w:rsidR="009346FF" w:rsidRDefault="009346FF" w:rsidP="009346FF">
      <w:pPr>
        <w:pStyle w:val="Pealkiri2"/>
      </w:pPr>
      <w:bookmarkStart w:id="0" w:name="_Toc203379103"/>
      <w:r>
        <w:t>Rahandusministeerium</w:t>
      </w:r>
      <w:bookmarkEnd w:id="0"/>
    </w:p>
    <w:p w14:paraId="4E6A2F4C" w14:textId="57412920" w:rsidR="009346FF" w:rsidRDefault="009346FF" w:rsidP="009346FF">
      <w:pPr>
        <w:pStyle w:val="Pealkiri2"/>
        <w:rPr>
          <w:rFonts w:ascii="Roboto" w:hAnsi="Roboto"/>
          <w:sz w:val="20"/>
          <w:szCs w:val="20"/>
        </w:rPr>
      </w:pPr>
      <w:r w:rsidRPr="009346FF">
        <w:rPr>
          <w:rFonts w:ascii="Speak Pro" w:hAnsi="Speak Pro"/>
          <w:b/>
          <w:bCs/>
          <w:color w:val="C00000"/>
          <w:sz w:val="22"/>
          <w:szCs w:val="22"/>
        </w:rPr>
        <w:t>A</w:t>
      </w:r>
      <w:r w:rsidRPr="00576FC4">
        <w:rPr>
          <w:rFonts w:ascii="Speak Pro" w:hAnsi="Speak Pro"/>
          <w:b/>
          <w:bCs/>
          <w:color w:val="C00000"/>
          <w:sz w:val="22"/>
          <w:szCs w:val="22"/>
        </w:rPr>
        <w:t>valik huvi</w:t>
      </w:r>
      <w:r>
        <w:rPr>
          <w:rFonts w:ascii="Roboto" w:hAnsi="Roboto"/>
          <w:sz w:val="20"/>
          <w:szCs w:val="20"/>
        </w:rPr>
        <w:tab/>
      </w:r>
      <w:hyperlink r:id="rId4" w:history="1">
        <w:r w:rsidRPr="008102CB">
          <w:rPr>
            <w:rStyle w:val="Hperlink"/>
            <w:rFonts w:ascii="Roboto" w:hAnsi="Roboto"/>
            <w:color w:val="4C94D8" w:themeColor="text2" w:themeTint="80"/>
            <w:sz w:val="20"/>
            <w:szCs w:val="20"/>
          </w:rPr>
          <w:t>TAT-is</w:t>
        </w:r>
      </w:hyperlink>
      <w:r w:rsidRPr="00AC1988">
        <w:rPr>
          <w:rFonts w:ascii="Roboto" w:hAnsi="Roboto"/>
          <w:sz w:val="20"/>
          <w:szCs w:val="20"/>
        </w:rPr>
        <w:t xml:space="preserve"> ei ole rahastatavate organisatsioonide avalike huvide teenimise nõuet otsesõnu välja toodud, kuid sellele viitab rahastamise eesmärk. Samuti on viidatud, millise rakenduskava elluviimisse toetus panustab. Ka </w:t>
      </w:r>
      <w:hyperlink r:id="rId5" w:anchor="eesmargid" w:history="1">
        <w:r w:rsidRPr="008102CB">
          <w:rPr>
            <w:rStyle w:val="Hperlink"/>
            <w:rFonts w:ascii="Roboto" w:hAnsi="Roboto"/>
            <w:color w:val="4C94D8" w:themeColor="text2" w:themeTint="80"/>
            <w:sz w:val="20"/>
            <w:szCs w:val="20"/>
          </w:rPr>
          <w:t>ministeeriumi veebis</w:t>
        </w:r>
      </w:hyperlink>
      <w:r w:rsidRPr="00AC1988">
        <w:rPr>
          <w:rFonts w:ascii="Roboto" w:hAnsi="Roboto"/>
          <w:sz w:val="20"/>
          <w:szCs w:val="20"/>
        </w:rPr>
        <w:t xml:space="preserve"> on rahastamise eesmärgid põhjalikult selgitatud.</w:t>
      </w:r>
      <w:r>
        <w:rPr>
          <w:rFonts w:ascii="Roboto" w:hAnsi="Roboto"/>
          <w:sz w:val="20"/>
          <w:szCs w:val="20"/>
        </w:rPr>
        <w:t xml:space="preserve"> </w:t>
      </w:r>
      <w:r w:rsidRPr="00A149CD">
        <w:rPr>
          <w:rFonts w:ascii="Roboto" w:hAnsi="Roboto"/>
          <w:sz w:val="20"/>
          <w:szCs w:val="20"/>
        </w:rPr>
        <w:t>Strateegilist partnerlust (definitsiooni järgi) sisse seatud ei ole.</w:t>
      </w:r>
    </w:p>
    <w:p w14:paraId="5AA55FBC" w14:textId="77777777" w:rsidR="009346FF" w:rsidRDefault="009346FF" w:rsidP="009346FF">
      <w:pPr>
        <w:jc w:val="both"/>
        <w:rPr>
          <w:rFonts w:ascii="Roboto" w:hAnsi="Roboto"/>
          <w:sz w:val="20"/>
          <w:szCs w:val="20"/>
        </w:rPr>
      </w:pPr>
      <w:r>
        <w:rPr>
          <w:rFonts w:ascii="Speak Pro" w:hAnsi="Speak Pro"/>
          <w:b/>
          <w:bCs/>
          <w:color w:val="C00000"/>
          <w:sz w:val="22"/>
          <w:szCs w:val="22"/>
        </w:rPr>
        <w:t>Tulemuslikkus</w:t>
      </w:r>
      <w:r>
        <w:rPr>
          <w:rFonts w:ascii="Speak Pro" w:hAnsi="Speak Pro"/>
          <w:b/>
          <w:bCs/>
          <w:color w:val="C00000"/>
          <w:sz w:val="22"/>
          <w:szCs w:val="22"/>
        </w:rPr>
        <w:tab/>
      </w:r>
      <w:r w:rsidRPr="008749EE">
        <w:rPr>
          <w:rFonts w:ascii="Roboto" w:hAnsi="Roboto"/>
          <w:sz w:val="20"/>
          <w:szCs w:val="20"/>
        </w:rPr>
        <w:t>TAT-id toetavad rahastamise eesmärkide saavutamist kuivõrd eesmärkidena on toodud poliitikakujundamises kaasarääkimise ja toetuste kasutamise võimekuse suurendamine. Kriteeriumid võimaldavad hinnata tulemuslikkust ja ülevaadet tulemusindikaatoreist oodatakse ka aruandluses. Tegevustoetuste saajate tegevuste tulemusi puudutav info ei ole avalikult kättesaadav. Ministeerium hindab raha jagamise ja kasutamise protsessi kulutõhusaks. Voorulist taotlemist ei toimu. Aruannete pinnalt koondanalüüsi ei tehta ega selle tulemustele toetudes meetmeid ei muudeta.</w:t>
      </w:r>
    </w:p>
    <w:p w14:paraId="15568312" w14:textId="77777777" w:rsidR="009346FF" w:rsidRDefault="009346FF" w:rsidP="009346FF">
      <w:pPr>
        <w:jc w:val="both"/>
        <w:rPr>
          <w:rFonts w:ascii="Roboto" w:hAnsi="Roboto"/>
          <w:sz w:val="20"/>
          <w:szCs w:val="20"/>
        </w:rPr>
      </w:pPr>
      <w:r w:rsidRPr="00576FC4">
        <w:rPr>
          <w:rFonts w:ascii="Speak Pro" w:hAnsi="Speak Pro"/>
          <w:b/>
          <w:bCs/>
          <w:color w:val="C00000"/>
          <w:sz w:val="22"/>
          <w:szCs w:val="22"/>
        </w:rPr>
        <w:t>Kaasatus</w:t>
      </w:r>
      <w:r>
        <w:rPr>
          <w:rFonts w:ascii="Speak Pro" w:hAnsi="Speak Pro"/>
          <w:b/>
          <w:bCs/>
          <w:color w:val="C00000"/>
          <w:sz w:val="22"/>
          <w:szCs w:val="22"/>
        </w:rPr>
        <w:tab/>
      </w:r>
      <w:r w:rsidRPr="00110CBD">
        <w:rPr>
          <w:rFonts w:ascii="Roboto" w:hAnsi="Roboto"/>
          <w:sz w:val="20"/>
          <w:szCs w:val="20"/>
        </w:rPr>
        <w:t>Ministeeriumi hinnangul toimub vabaühendustega rahastamise tingimuste ja -protsessi alane konsulteerimine piisavalt varajases etapis ja piisaval hulgal. Kaasarääkimis</w:t>
      </w:r>
      <w:r>
        <w:rPr>
          <w:rFonts w:ascii="Roboto" w:hAnsi="Roboto"/>
          <w:sz w:val="20"/>
          <w:szCs w:val="20"/>
        </w:rPr>
        <w:t xml:space="preserve">e </w:t>
      </w:r>
      <w:r w:rsidRPr="00110CBD">
        <w:rPr>
          <w:rFonts w:ascii="Roboto" w:hAnsi="Roboto"/>
          <w:sz w:val="20"/>
          <w:szCs w:val="20"/>
        </w:rPr>
        <w:t>võimalus antakse kõigile asjast huvitunutele. Suhtlus partneritega toimub seirekohtumistel, millest saadav tagasiside on olnud positiivne.</w:t>
      </w:r>
    </w:p>
    <w:p w14:paraId="32EEFFDD" w14:textId="77777777" w:rsidR="009346FF" w:rsidRDefault="009346FF" w:rsidP="009346FF">
      <w:pPr>
        <w:jc w:val="both"/>
        <w:rPr>
          <w:rFonts w:ascii="Roboto" w:hAnsi="Roboto"/>
          <w:sz w:val="20"/>
          <w:szCs w:val="20"/>
        </w:rPr>
      </w:pPr>
      <w:r w:rsidRPr="00737CA9">
        <w:rPr>
          <w:rFonts w:ascii="Speak Pro" w:hAnsi="Speak Pro"/>
          <w:b/>
          <w:bCs/>
          <w:color w:val="C00000"/>
          <w:sz w:val="22"/>
          <w:szCs w:val="22"/>
        </w:rPr>
        <w:t>Läbipaistvus</w:t>
      </w:r>
      <w:r>
        <w:rPr>
          <w:rFonts w:ascii="Roboto" w:hAnsi="Roboto"/>
          <w:sz w:val="20"/>
          <w:szCs w:val="20"/>
        </w:rPr>
        <w:tab/>
      </w:r>
      <w:r w:rsidRPr="00182BC2">
        <w:rPr>
          <w:rFonts w:ascii="Roboto" w:hAnsi="Roboto"/>
          <w:sz w:val="20"/>
          <w:szCs w:val="20"/>
        </w:rPr>
        <w:t xml:space="preserve">Ministeeriumi </w:t>
      </w:r>
      <w:hyperlink r:id="rId6" w:anchor="ulevaade" w:history="1">
        <w:r w:rsidRPr="00462D53">
          <w:rPr>
            <w:rStyle w:val="Hperlink"/>
            <w:rFonts w:ascii="Roboto" w:hAnsi="Roboto"/>
            <w:color w:val="4C94D8" w:themeColor="text2" w:themeTint="80"/>
            <w:sz w:val="20"/>
            <w:szCs w:val="20"/>
          </w:rPr>
          <w:t>veebis</w:t>
        </w:r>
      </w:hyperlink>
      <w:r w:rsidRPr="00182BC2">
        <w:rPr>
          <w:rFonts w:ascii="Roboto" w:hAnsi="Roboto"/>
          <w:sz w:val="20"/>
          <w:szCs w:val="20"/>
        </w:rPr>
        <w:t xml:space="preserve"> on rahastamist puudutav info suhteliselt kergesti leitav. Toetuste eraldamine ei käi avaliku konkursi alusel ega </w:t>
      </w:r>
      <w:proofErr w:type="spellStart"/>
      <w:r w:rsidRPr="00182BC2">
        <w:rPr>
          <w:rFonts w:ascii="Roboto" w:hAnsi="Roboto"/>
          <w:sz w:val="20"/>
          <w:szCs w:val="20"/>
        </w:rPr>
        <w:t>vooruliselt</w:t>
      </w:r>
      <w:proofErr w:type="spellEnd"/>
      <w:r w:rsidRPr="00182BC2">
        <w:rPr>
          <w:rFonts w:ascii="Roboto" w:hAnsi="Roboto"/>
          <w:sz w:val="20"/>
          <w:szCs w:val="20"/>
        </w:rPr>
        <w:t xml:space="preserve">. Meetme olemusest tulenevalt haldab RTK andmeid rahastatud projektide, tegevuste ja indikaatorite kohta struktuuritoetuste registris (ei ole avalik). Taotlejad saavad toetuse andmise või mitteandmise otsuse kohta tagasisidet. Toetuse saajaid ei ole nimeliselt </w:t>
      </w:r>
      <w:proofErr w:type="spellStart"/>
      <w:r w:rsidRPr="00182BC2">
        <w:rPr>
          <w:rFonts w:ascii="Roboto" w:hAnsi="Roboto"/>
          <w:sz w:val="20"/>
          <w:szCs w:val="20"/>
        </w:rPr>
        <w:t>RES-is</w:t>
      </w:r>
      <w:proofErr w:type="spellEnd"/>
      <w:r w:rsidRPr="00182BC2">
        <w:rPr>
          <w:rFonts w:ascii="Roboto" w:hAnsi="Roboto"/>
          <w:sz w:val="20"/>
          <w:szCs w:val="20"/>
        </w:rPr>
        <w:t xml:space="preserve"> välja toodud.</w:t>
      </w:r>
    </w:p>
    <w:p w14:paraId="15DA8F37" w14:textId="77777777" w:rsidR="009346FF" w:rsidRDefault="009346FF" w:rsidP="009346FF">
      <w:pPr>
        <w:jc w:val="both"/>
        <w:rPr>
          <w:rFonts w:ascii="Roboto" w:hAnsi="Roboto"/>
          <w:sz w:val="20"/>
          <w:szCs w:val="20"/>
        </w:rPr>
      </w:pPr>
      <w:r>
        <w:rPr>
          <w:rFonts w:ascii="Speak Pro" w:hAnsi="Speak Pro"/>
          <w:b/>
          <w:bCs/>
          <w:color w:val="C00000"/>
          <w:sz w:val="22"/>
          <w:szCs w:val="22"/>
        </w:rPr>
        <w:t>Ligipääsetavus</w:t>
      </w:r>
      <w:r>
        <w:rPr>
          <w:rFonts w:ascii="Speak Pro" w:hAnsi="Speak Pro"/>
          <w:b/>
          <w:bCs/>
          <w:color w:val="C00000"/>
          <w:sz w:val="22"/>
          <w:szCs w:val="22"/>
        </w:rPr>
        <w:tab/>
      </w:r>
      <w:r w:rsidRPr="00280C83">
        <w:rPr>
          <w:rFonts w:ascii="Roboto" w:hAnsi="Roboto"/>
          <w:sz w:val="20"/>
          <w:szCs w:val="20"/>
        </w:rPr>
        <w:t>Kehtestatud tehnilise abi rahastamise reeglid ja valikukriteeriumid on selged. Meetme eripärast tulenevalt ei ole eristatud erinevaid rahastamise liike ja erandeid. Toetuse eesmärgist tulenevalt on ligipääsetavusel piirangud (rakenduskava elluviijad: administratsioon, sotsiaalpartnerid, partnerid ja kodanikuühiskonna organisatsioonid (kohalike omavalitsuste riigi tasandi esindusorganisatsioon, kodanikuühiskonda esindav organisatsioon)). TAT-id toetavad eesmärki ning kaasfinantseeringu nõue on 27,8%.</w:t>
      </w:r>
    </w:p>
    <w:p w14:paraId="6C79EF86" w14:textId="7CB4E0DB" w:rsidR="009346FF" w:rsidRDefault="009346FF" w:rsidP="009346FF">
      <w:r w:rsidRPr="00737CA9">
        <w:rPr>
          <w:rFonts w:ascii="Speak Pro" w:hAnsi="Speak Pro"/>
          <w:b/>
          <w:bCs/>
          <w:color w:val="C00000"/>
          <w:sz w:val="22"/>
          <w:szCs w:val="22"/>
        </w:rPr>
        <w:t>Võimekus</w:t>
      </w:r>
      <w:r>
        <w:rPr>
          <w:rFonts w:ascii="Speak Pro" w:hAnsi="Speak Pro"/>
          <w:b/>
          <w:bCs/>
          <w:color w:val="C00000"/>
          <w:sz w:val="22"/>
          <w:szCs w:val="22"/>
        </w:rPr>
        <w:tab/>
      </w:r>
      <w:r w:rsidRPr="00723591">
        <w:rPr>
          <w:rFonts w:ascii="Roboto" w:hAnsi="Roboto"/>
          <w:sz w:val="20"/>
          <w:szCs w:val="20"/>
        </w:rPr>
        <w:t>Abikõlblike kulude spekter on lai ja toetab ühenduse professionaalsuse kasvu ning jätkusuutlikkust. Määruses on toetatavad tegevused täpselt loetletud, mis viitab, et vajadusi on eelnevalt hinnatud. Võimekuse kasvu hinnatakse rahastuse toel läbi viidud tegevuste pinnalt ning toetatav ühendus on ka ise seirekomisjoni liige.</w:t>
      </w:r>
      <w:r>
        <w:rPr>
          <w:rFonts w:ascii="Roboto" w:hAnsi="Roboto"/>
          <w:sz w:val="20"/>
          <w:szCs w:val="20"/>
        </w:rPr>
        <w:t xml:space="preserve"> Võimekuse püsima jäämise kontekst ei ole samas selge.</w:t>
      </w:r>
    </w:p>
    <w:sectPr w:rsidR="00934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peak Pro">
    <w:charset w:val="00"/>
    <w:family w:val="swiss"/>
    <w:pitch w:val="variable"/>
    <w:sig w:usb0="8000002F" w:usb1="0000000A" w:usb2="00000000" w:usb3="00000000" w:csb0="00000001"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FF"/>
    <w:rsid w:val="00744AC2"/>
    <w:rsid w:val="009346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CD0D"/>
  <w15:chartTrackingRefBased/>
  <w15:docId w15:val="{D70177EB-2447-4ACA-8821-8461FB5B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46FF"/>
  </w:style>
  <w:style w:type="paragraph" w:styleId="Pealkiri1">
    <w:name w:val="heading 1"/>
    <w:basedOn w:val="Normaallaad"/>
    <w:next w:val="Normaallaad"/>
    <w:link w:val="Pealkiri1Mrk"/>
    <w:uiPriority w:val="9"/>
    <w:qFormat/>
    <w:rsid w:val="00934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934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9346F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346F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346F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346FF"/>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346FF"/>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346FF"/>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346FF"/>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346F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9346F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346F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346F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9346F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9346F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346F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346F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346F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34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346F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346FF"/>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346F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346FF"/>
    <w:pPr>
      <w:spacing w:before="160"/>
      <w:jc w:val="center"/>
    </w:pPr>
    <w:rPr>
      <w:i/>
      <w:iCs/>
      <w:color w:val="404040" w:themeColor="text1" w:themeTint="BF"/>
    </w:rPr>
  </w:style>
  <w:style w:type="character" w:customStyle="1" w:styleId="TsitaatMrk">
    <w:name w:val="Tsitaat Märk"/>
    <w:basedOn w:val="Liguvaikefont"/>
    <w:link w:val="Tsitaat"/>
    <w:uiPriority w:val="29"/>
    <w:rsid w:val="009346FF"/>
    <w:rPr>
      <w:i/>
      <w:iCs/>
      <w:color w:val="404040" w:themeColor="text1" w:themeTint="BF"/>
    </w:rPr>
  </w:style>
  <w:style w:type="paragraph" w:styleId="Loendilik">
    <w:name w:val="List Paragraph"/>
    <w:basedOn w:val="Normaallaad"/>
    <w:uiPriority w:val="34"/>
    <w:qFormat/>
    <w:rsid w:val="009346FF"/>
    <w:pPr>
      <w:ind w:left="720"/>
      <w:contextualSpacing/>
    </w:pPr>
  </w:style>
  <w:style w:type="character" w:styleId="Selgeltmrgatavrhutus">
    <w:name w:val="Intense Emphasis"/>
    <w:basedOn w:val="Liguvaikefont"/>
    <w:uiPriority w:val="21"/>
    <w:qFormat/>
    <w:rsid w:val="009346FF"/>
    <w:rPr>
      <w:i/>
      <w:iCs/>
      <w:color w:val="0F4761" w:themeColor="accent1" w:themeShade="BF"/>
    </w:rPr>
  </w:style>
  <w:style w:type="paragraph" w:styleId="Selgeltmrgatavtsitaat">
    <w:name w:val="Intense Quote"/>
    <w:basedOn w:val="Normaallaad"/>
    <w:next w:val="Normaallaad"/>
    <w:link w:val="SelgeltmrgatavtsitaatMrk"/>
    <w:uiPriority w:val="30"/>
    <w:qFormat/>
    <w:rsid w:val="00934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346FF"/>
    <w:rPr>
      <w:i/>
      <w:iCs/>
      <w:color w:val="0F4761" w:themeColor="accent1" w:themeShade="BF"/>
    </w:rPr>
  </w:style>
  <w:style w:type="character" w:styleId="Selgeltmrgatavviide">
    <w:name w:val="Intense Reference"/>
    <w:basedOn w:val="Liguvaikefont"/>
    <w:uiPriority w:val="32"/>
    <w:qFormat/>
    <w:rsid w:val="009346FF"/>
    <w:rPr>
      <w:b/>
      <w:bCs/>
      <w:smallCaps/>
      <w:color w:val="0F4761" w:themeColor="accent1" w:themeShade="BF"/>
      <w:spacing w:val="5"/>
    </w:rPr>
  </w:style>
  <w:style w:type="character" w:styleId="Hperlink">
    <w:name w:val="Hyperlink"/>
    <w:basedOn w:val="Liguvaikefont"/>
    <w:uiPriority w:val="99"/>
    <w:unhideWhenUsed/>
    <w:rsid w:val="009346F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tk.ee/toetuste-ulevaated-oigusaktid/euroopa-liidu-valisvahendid/rakendusperiood-2021-2027" TargetMode="External"/><Relationship Id="rId11" Type="http://schemas.openxmlformats.org/officeDocument/2006/relationships/customXml" Target="../customXml/item3.xml"/><Relationship Id="rId5" Type="http://schemas.openxmlformats.org/officeDocument/2006/relationships/hyperlink" Target="https://rtk.ee/toetuste-ulevaated-oigusaktid/euroopa-liidu-valisvahendid/rakendusperiood-2021-2027" TargetMode="External"/><Relationship Id="rId10" Type="http://schemas.openxmlformats.org/officeDocument/2006/relationships/customXml" Target="../customXml/item2.xml"/><Relationship Id="rId4" Type="http://schemas.openxmlformats.org/officeDocument/2006/relationships/hyperlink" Target="https://www.riigiteataja.ee/akt/130092022004?leiaKehtiv" TargetMode="External"/><Relationship Id="rId9" Type="http://schemas.openxmlformats.org/officeDocument/2006/relationships/customXml" Target="../customXml/item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17AADF8D7AF44B9E0F2C22D7A14AE1" ma:contentTypeVersion="19" ma:contentTypeDescription="Loo uus dokument" ma:contentTypeScope="" ma:versionID="fa25ccc256847391e12029c5f4c3d381">
  <xsd:schema xmlns:xsd="http://www.w3.org/2001/XMLSchema" xmlns:xs="http://www.w3.org/2001/XMLSchema" xmlns:p="http://schemas.microsoft.com/office/2006/metadata/properties" xmlns:ns2="375a04bf-7cf5-4daa-b3e4-2440b55a35c6" xmlns:ns3="35c5ef7c-725c-440b-abe4-be1cf878967f" targetNamespace="http://schemas.microsoft.com/office/2006/metadata/properties" ma:root="true" ma:fieldsID="cfdf7e5376cd8b13e24d22d8ff9664c2" ns2:_="" ns3:_="">
    <xsd:import namespace="375a04bf-7cf5-4daa-b3e4-2440b55a35c6"/>
    <xsd:import namespace="35c5ef7c-725c-440b-abe4-be1cf87896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04bf-7cf5-4daa-b3e4-2440b55a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73719990-c6bf-4b7f-8131-a9aa308231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5ef7c-725c-440b-abe4-be1cf878967f"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9801a8bb-f6c4-41ee-8b49-55a3e439c496}" ma:internalName="TaxCatchAll" ma:showField="CatchAllData" ma:web="35c5ef7c-725c-440b-abe4-be1cf87896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5a04bf-7cf5-4daa-b3e4-2440b55a35c6">
      <Terms xmlns="http://schemas.microsoft.com/office/infopath/2007/PartnerControls"/>
    </lcf76f155ced4ddcb4097134ff3c332f>
    <TaxCatchAll xmlns="35c5ef7c-725c-440b-abe4-be1cf878967f" xsi:nil="true"/>
  </documentManagement>
</p:properties>
</file>

<file path=customXml/itemProps1.xml><?xml version="1.0" encoding="utf-8"?>
<ds:datastoreItem xmlns:ds="http://schemas.openxmlformats.org/officeDocument/2006/customXml" ds:itemID="{0701AEED-E158-438C-921C-199686AAA209}"/>
</file>

<file path=customXml/itemProps2.xml><?xml version="1.0" encoding="utf-8"?>
<ds:datastoreItem xmlns:ds="http://schemas.openxmlformats.org/officeDocument/2006/customXml" ds:itemID="{D8A9D24D-AF99-43FF-8081-F2F0513ABB98}"/>
</file>

<file path=customXml/itemProps3.xml><?xml version="1.0" encoding="utf-8"?>
<ds:datastoreItem xmlns:ds="http://schemas.openxmlformats.org/officeDocument/2006/customXml" ds:itemID="{BCC2390B-F39F-46D0-995A-5FB49B383301}"/>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2518</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Maarja-Liisa Kapaun</dc:creator>
  <cp:keywords/>
  <dc:description/>
  <cp:lastModifiedBy>Maarja-Liisa Kapaun</cp:lastModifiedBy>
  <cp:revision>1</cp:revision>
  <dcterms:created xsi:type="dcterms:W3CDTF">2025-07-29T12:55:00Z</dcterms:created>
  <dcterms:modified xsi:type="dcterms:W3CDTF">2025-07-29T12:56:00Z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0x0101001217AADF8D7AF44B9E0F2C22D7A14AE1</vt:lpwstr>
  </property>
</Properties>
</file>